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 Beleidsnota's Programma 2 Openbare orde en 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"/>
        Beleidsnota's Programma 2 Openbare orde en veiligheid
        <text:bookmark-end text:name="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17-01-2025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Uitvoeringsprogramma veiligheid Huizen 2023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4.A2" office:value-type="string">
            <text:p text:style-name="P33">
              <text:a xlink:type="simple" xlink:href="https://ris.gemeenteraadhuizen.nl///Documenten/Uitvoeringsprogramma-veiligheid-Huize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Integraal veiligheidsplan (IVP) Gemeente Huizen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326,97 KB</text:p>
          </table:table-cell>
          <table:table-cell table:style-name="Table4.A2" office:value-type="string">
            <text:p text:style-name="P33">
              <text:a xlink:type="simple" xlink:href="https://ris.gemeenteraadhuizen.nl///Documenten/Integraal-veiligheidsplan-IVP-Gemeente-Huize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Regionaal BeleidsPlan Veiligheidsregio 2025-2028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9,38 MB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BeleidsPlan-Veiligheidsregio-2025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Regionaal CrisisPlan Veiligheidsregio 2022-2025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683,17 KB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CrisisPlan-Veiligheidsregio-202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Regionaal Risicoprofiel Veiligheidsregio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Risicoprofiel-Veiligheidsregio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5" meta:character-count="749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