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6 Ruimtelijke en economische ontwikkeling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9" meta:character-count="149" meta:non-whitespace-character-count="1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