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6 Ruimtelijke en economische ontwikkeling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49" meta:non-whitespace-character-count="1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