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Vergaderregels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" text:style-name="Internet_20_link" text:visited-style-name="Visited_20_Internet_20_Link">
              <text:span text:style-name="ListLabel_20_28">
                <text:span text:style-name="T8">1 Vergaderregels voor de vergaderingen én andere werkzaamheden van de 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"/>
        Vergaderregels voor de vergaderingen én andere werkzaamheden van de raad
        <text:bookmark-end text:name="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13-11-2025 13:51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Raadsbesluit Reglement van orde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135,64 KB</text:p>
          </table:table-cell>
          <table:table-cell table:style-name="Table4.A2" office:value-type="string">
            <text:p text:style-name="P33">
              <text:a xlink:type="simple" xlink:href="https://ris.gemeenteraadhuizen.nl///Documenten/Raadsbesluit-Reglement-van-ord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Commissieverordening 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165,30 KB</text:p>
          </table:table-cell>
          <table:table-cell table:style-name="Table4.A2" office:value-type="string">
            <text:p text:style-name="P33">
              <text:a xlink:type="simple" xlink:href="https://ris.gemeenteraadhuizen.nl///Documenten/Commissieverordening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475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