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2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A1 - Belastingmaatregelen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Belastingmaatregele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(A1) Wijziging toeristenbelastingen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Wijziging-toeristenbelast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Amendement vraagstukken regionale grondstoffenvisie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177,64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1-Amendement-vraagstukken-regionale-grondstoffen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Regionale Energie Strategie (A5)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82,85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Regionale-Energie-Strategie-A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bufferzone windturbines (A4)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bufferzone-windturbines-A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RES (A3)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103,43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RES-A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uitzonderen zoekgebieden in of grenzend aan natuurgebieden van de RES (A2)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145,95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uitzonderen-zoekgebieden-in-of-grenzend-aan-natuurgebieden-van-de-RES-A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INGETROKKEN - Amendement tweerichtingsverkeer Kerkstraat (A1)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383,11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tweerichtingsverkeer-Kerkstraat-A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aanwijzing nieuwe grote projecten (A1)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103,91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anwijzing-nieuwe-grote-projecten-A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 Amendement groener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122,49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1-Amendement-groener-doelgroepenvervo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(A1) aanpak waterplantenoverlast in Gooimeer Oost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61,48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aanpak-waterplantenoverlast-in-Gooimeer-Oo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4" meta:character-count="981" meta:non-whitespace-character-count="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