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t/m april 2021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commissie Sociaal Domein d.d. 25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20-03-2020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151,68 KB</text:p>
          </table:table-cell>
          <table:table-cell table:style-name="Table3.A2" office:value-type="string">
            <text:p text:style-name="P22">
              <text:a xlink:type="simple" xlink:href="https://ris.gemeenteraadhuizen.nl//documenten/Notulen/Notulen-commissie-Sociaal-Domein-d-d-25-februar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commissie Fysiek Domein d.d. 26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20-03-2020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131,48 KB</text:p>
          </table:table-cell>
          <table:table-cell table:style-name="Table3.A2" office:value-type="string">
            <text:p text:style-name="P22">
              <text:a xlink:type="simple" xlink:href="https://ris.gemeenteraadhuizen.nl//documenten/Notulen/Notulen-commissie-Fysiek-Domein-d-d-26-februari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raad 
              <text:s/>
              12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185,82 KB</text:p>
          </table:table-cell>
          <table:table-cell table:style-name="Table3.A2" office:value-type="string">
            <text:p text:style-name="P22">
              <text:a xlink:type="simple" xlink:href="https://ris.gemeenteraadhuizen.nl//documenten/Notulen/A-3-Notulen-raad-2020-03-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commissie Fysiek Domein 26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09-03-2020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141,61 KB</text:p>
          </table:table-cell>
          <table:table-cell table:style-name="Table3.A2" office:value-type="string">
            <text:p text:style-name="P22">
              <text:a xlink:type="simple" xlink:href="https://ris.gemeenteraadhuizen.nl//documenten/Notulen/A-3-20200226-Gemeente-Huizen-Commissie-Fysiek-Dome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Notulen commissie Sociaal Domein 25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09-03-2020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162,97 KB</text:p>
          </table:table-cell>
          <table:table-cell table:style-name="Table3.A2" office:value-type="string">
            <text:p text:style-name="P22">
              <text:a xlink:type="simple" xlink:href="https://ris.gemeenteraadhuizen.nl//documenten/Notulen/A-2-20200225-Huizen-cie-S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6" meta:character-count="505" meta:non-whitespace-character-count="4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